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1" w:type="dxa"/>
        <w:tblInd w:w="-567" w:type="dxa"/>
        <w:tblCellMar>
          <w:top w:w="15" w:type="dxa"/>
          <w:left w:w="15" w:type="dxa"/>
          <w:bottom w:w="15" w:type="dxa"/>
          <w:right w:w="15" w:type="dxa"/>
        </w:tblCellMar>
        <w:tblLook w:val="04A0" w:firstRow="1" w:lastRow="0" w:firstColumn="1" w:lastColumn="0" w:noHBand="0" w:noVBand="1"/>
      </w:tblPr>
      <w:tblGrid>
        <w:gridCol w:w="108"/>
        <w:gridCol w:w="4859"/>
        <w:gridCol w:w="794"/>
        <w:gridCol w:w="3660"/>
      </w:tblGrid>
      <w:tr w:rsidR="00372DE0" w:rsidRPr="00F5563A" w14:paraId="31966FDC"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6AE36B40" w14:textId="75DB1A27"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Período: </w:t>
            </w:r>
            <w:proofErr w:type="gramStart"/>
            <w:r w:rsidR="00D21489">
              <w:rPr>
                <w:rFonts w:ascii="Altivo Regular" w:eastAsia="Times New Roman" w:hAnsi="Altivo Regular"/>
                <w:b/>
                <w:bCs/>
                <w:color w:val="1F4E79"/>
                <w:sz w:val="20"/>
                <w:szCs w:val="20"/>
                <w:lang w:eastAsia="es-GT"/>
              </w:rPr>
              <w:t>Marzo</w:t>
            </w:r>
            <w:proofErr w:type="gramEnd"/>
            <w:r w:rsidR="00D21489">
              <w:rPr>
                <w:rFonts w:ascii="Altivo Regular" w:eastAsia="Times New Roman" w:hAnsi="Altivo Regular"/>
                <w:b/>
                <w:bCs/>
                <w:color w:val="1F4E79"/>
                <w:sz w:val="20"/>
                <w:szCs w:val="20"/>
                <w:lang w:eastAsia="es-GT"/>
              </w:rPr>
              <w:t xml:space="preserve"> </w:t>
            </w:r>
            <w:r w:rsidR="00820148" w:rsidRPr="003F62B4">
              <w:rPr>
                <w:rFonts w:ascii="Altivo Regular" w:eastAsia="Times New Roman" w:hAnsi="Altivo Regular"/>
                <w:b/>
                <w:bCs/>
                <w:color w:val="1F4E79"/>
                <w:sz w:val="20"/>
                <w:szCs w:val="20"/>
                <w:lang w:eastAsia="es-GT"/>
              </w:rPr>
              <w:t>de 202</w:t>
            </w:r>
            <w:r w:rsidR="0008118A">
              <w:rPr>
                <w:rFonts w:ascii="Altivo Regular" w:eastAsia="Times New Roman" w:hAnsi="Altivo Regular"/>
                <w:b/>
                <w:bCs/>
                <w:color w:val="1F4E79"/>
                <w:sz w:val="20"/>
                <w:szCs w:val="20"/>
                <w:lang w:eastAsia="es-GT"/>
              </w:rPr>
              <w:t>5</w:t>
            </w:r>
          </w:p>
        </w:tc>
      </w:tr>
      <w:tr w:rsidR="00372DE0" w:rsidRPr="00F5563A" w14:paraId="3DE3AF4B"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16C5AB72" w14:textId="193D7349"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Decreto No. </w:t>
            </w:r>
            <w:r w:rsidR="003E5ECE">
              <w:rPr>
                <w:rFonts w:ascii="Altivo Regular" w:eastAsia="Times New Roman" w:hAnsi="Altivo Regular"/>
                <w:b/>
                <w:bCs/>
                <w:color w:val="1F4E79"/>
                <w:sz w:val="20"/>
                <w:szCs w:val="20"/>
                <w:lang w:eastAsia="es-GT"/>
              </w:rPr>
              <w:t>36</w:t>
            </w:r>
            <w:r w:rsidRPr="003F62B4">
              <w:rPr>
                <w:rFonts w:ascii="Altivo Regular" w:eastAsia="Times New Roman" w:hAnsi="Altivo Regular"/>
                <w:b/>
                <w:bCs/>
                <w:color w:val="1F4E79"/>
                <w:sz w:val="20"/>
                <w:szCs w:val="20"/>
                <w:lang w:eastAsia="es-GT"/>
              </w:rPr>
              <w:t>-202</w:t>
            </w:r>
            <w:r w:rsidR="003E5ECE">
              <w:rPr>
                <w:rFonts w:ascii="Altivo Regular" w:eastAsia="Times New Roman" w:hAnsi="Altivo Regular"/>
                <w:b/>
                <w:bCs/>
                <w:color w:val="1F4E79"/>
                <w:sz w:val="20"/>
                <w:szCs w:val="20"/>
                <w:lang w:eastAsia="es-GT"/>
              </w:rPr>
              <w:t>4</w:t>
            </w:r>
            <w:r w:rsidRPr="003F62B4">
              <w:rPr>
                <w:rFonts w:ascii="Altivo Regular" w:eastAsia="Times New Roman" w:hAnsi="Altivo Regular"/>
                <w:b/>
                <w:bCs/>
                <w:color w:val="1F4E79"/>
                <w:sz w:val="20"/>
                <w:szCs w:val="20"/>
                <w:lang w:eastAsia="es-GT"/>
              </w:rPr>
              <w:t>  </w:t>
            </w:r>
          </w:p>
          <w:p w14:paraId="384F0410" w14:textId="4BDC8F63" w:rsidR="00372DE0" w:rsidRPr="003F62B4" w:rsidRDefault="00372DE0" w:rsidP="00F7355B">
            <w:pPr>
              <w:spacing w:after="0" w:line="240" w:lineRule="auto"/>
              <w:jc w:val="center"/>
              <w:rPr>
                <w:rFonts w:ascii="Altivo Regular" w:eastAsia="Times New Roman" w:hAnsi="Altivo Regular"/>
                <w:b/>
                <w:bCs/>
                <w:color w:val="1F4E79"/>
                <w:sz w:val="20"/>
                <w:szCs w:val="20"/>
                <w:lang w:eastAsia="es-GT"/>
              </w:rPr>
            </w:pPr>
            <w:r w:rsidRPr="003F62B4">
              <w:rPr>
                <w:rFonts w:ascii="Altivo Regular" w:eastAsia="Times New Roman" w:hAnsi="Altivo Regular"/>
                <w:b/>
                <w:bCs/>
                <w:color w:val="1F4E79"/>
                <w:sz w:val="20"/>
                <w:szCs w:val="20"/>
                <w:lang w:eastAsia="es-GT"/>
              </w:rPr>
              <w:t> (Artículo 3</w:t>
            </w:r>
            <w:r w:rsidR="003E5ECE">
              <w:rPr>
                <w:rFonts w:ascii="Altivo Regular" w:eastAsia="Times New Roman" w:hAnsi="Altivo Regular"/>
                <w:b/>
                <w:bCs/>
                <w:color w:val="1F4E79"/>
                <w:sz w:val="20"/>
                <w:szCs w:val="20"/>
                <w:lang w:eastAsia="es-GT"/>
              </w:rPr>
              <w:t>5</w:t>
            </w:r>
            <w:r w:rsidRPr="003F62B4">
              <w:rPr>
                <w:rFonts w:ascii="Altivo Regular" w:eastAsia="Times New Roman" w:hAnsi="Altivo Regular"/>
                <w:b/>
                <w:bCs/>
                <w:color w:val="1F4E79"/>
                <w:sz w:val="20"/>
                <w:szCs w:val="20"/>
                <w:lang w:eastAsia="es-GT"/>
              </w:rPr>
              <w:t xml:space="preserve"> Numeral 2.)</w:t>
            </w:r>
          </w:p>
          <w:p w14:paraId="4A5BB6E0" w14:textId="77777777" w:rsidR="00372DE0" w:rsidRPr="00B641B2" w:rsidRDefault="00372DE0" w:rsidP="00F7355B">
            <w:pPr>
              <w:spacing w:after="0" w:line="240" w:lineRule="auto"/>
              <w:ind w:left="498"/>
              <w:rPr>
                <w:rFonts w:ascii="Altivo Regular" w:eastAsia="Times New Roman" w:hAnsi="Altivo Regular"/>
                <w:b/>
                <w:color w:val="000000"/>
                <w:sz w:val="12"/>
                <w:szCs w:val="12"/>
                <w:lang w:eastAsia="es-GT"/>
              </w:rPr>
            </w:pPr>
          </w:p>
          <w:p w14:paraId="3B8379C8" w14:textId="25F3B605" w:rsidR="00372DE0" w:rsidRPr="003F62B4" w:rsidRDefault="00372DE0" w:rsidP="00F7355B">
            <w:pPr>
              <w:spacing w:after="0" w:line="240" w:lineRule="auto"/>
              <w:ind w:left="498"/>
              <w:rPr>
                <w:rFonts w:ascii="Altivo Regular" w:eastAsia="Times New Roman" w:hAnsi="Altivo Regular"/>
                <w:sz w:val="20"/>
                <w:szCs w:val="20"/>
                <w:lang w:eastAsia="es-GT"/>
              </w:rPr>
            </w:pPr>
            <w:r w:rsidRPr="003F62B4">
              <w:rPr>
                <w:rFonts w:ascii="Altivo Regular" w:eastAsia="Times New Roman" w:hAnsi="Altivo Regular"/>
                <w:b/>
                <w:color w:val="000000"/>
                <w:sz w:val="20"/>
                <w:szCs w:val="20"/>
                <w:lang w:eastAsia="es-GT"/>
              </w:rPr>
              <w:t>Artículo 3</w:t>
            </w:r>
            <w:r w:rsidR="003E5ECE">
              <w:rPr>
                <w:rFonts w:ascii="Altivo Regular" w:eastAsia="Times New Roman" w:hAnsi="Altivo Regular"/>
                <w:b/>
                <w:color w:val="000000"/>
                <w:sz w:val="20"/>
                <w:szCs w:val="20"/>
                <w:lang w:eastAsia="es-GT"/>
              </w:rPr>
              <w:t>5</w:t>
            </w:r>
            <w:r w:rsidRPr="003F62B4">
              <w:rPr>
                <w:rFonts w:ascii="Altivo Regular" w:eastAsia="Times New Roman" w:hAnsi="Altivo Regular"/>
                <w:b/>
                <w:color w:val="000000"/>
                <w:sz w:val="20"/>
                <w:szCs w:val="20"/>
                <w:lang w:eastAsia="es-GT"/>
              </w:rPr>
              <w:t>, Otras remuneraciones de personal temporal.</w:t>
            </w:r>
          </w:p>
        </w:tc>
      </w:tr>
      <w:tr w:rsidR="00372DE0" w:rsidRPr="00F5563A" w14:paraId="47DE57E8" w14:textId="77777777" w:rsidTr="00F7355B">
        <w:trPr>
          <w:gridBefore w:val="1"/>
          <w:wBefore w:w="108" w:type="dxa"/>
          <w:trHeight w:val="293"/>
        </w:trPr>
        <w:tc>
          <w:tcPr>
            <w:tcW w:w="9313" w:type="dxa"/>
            <w:gridSpan w:val="3"/>
            <w:tcMar>
              <w:top w:w="0" w:type="dxa"/>
              <w:left w:w="70" w:type="dxa"/>
              <w:bottom w:w="0" w:type="dxa"/>
              <w:right w:w="70" w:type="dxa"/>
            </w:tcMar>
            <w:vAlign w:val="center"/>
          </w:tcPr>
          <w:p w14:paraId="62C8AE94" w14:textId="77777777" w:rsidR="00372DE0" w:rsidRPr="009165AB" w:rsidRDefault="00372DE0" w:rsidP="00F7355B">
            <w:pPr>
              <w:spacing w:after="0" w:line="240" w:lineRule="auto"/>
              <w:rPr>
                <w:rFonts w:ascii="Monserrat" w:eastAsia="Times New Roman" w:hAnsi="Monserrat"/>
                <w:b/>
                <w:bCs/>
                <w:color w:val="1F4E79"/>
                <w:sz w:val="20"/>
                <w:szCs w:val="20"/>
                <w:lang w:eastAsia="es-GT"/>
              </w:rPr>
            </w:pPr>
          </w:p>
        </w:tc>
      </w:tr>
      <w:tr w:rsidR="00372DE0" w:rsidRPr="00F5563A" w14:paraId="6E087ECC" w14:textId="77777777" w:rsidTr="00F7355B">
        <w:trPr>
          <w:trHeight w:val="317"/>
        </w:trPr>
        <w:tc>
          <w:tcPr>
            <w:tcW w:w="4967"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37DF2796" w14:textId="0D74808C"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DESCRIPCIÓN</w:t>
            </w:r>
          </w:p>
        </w:tc>
        <w:tc>
          <w:tcPr>
            <w:tcW w:w="4453"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06FE8A33" w14:textId="7E284E64"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OBSERVACIONES</w:t>
            </w:r>
          </w:p>
        </w:tc>
      </w:tr>
      <w:tr w:rsidR="00372DE0" w:rsidRPr="00F5563A" w14:paraId="5F0C4A6C" w14:textId="77777777" w:rsidTr="00F7355B">
        <w:trPr>
          <w:trHeight w:val="3590"/>
        </w:trPr>
        <w:tc>
          <w:tcPr>
            <w:tcW w:w="5761" w:type="dxa"/>
            <w:gridSpan w:val="3"/>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56F541C2" w14:textId="2F4DDF02"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Artículo 3</w:t>
            </w:r>
            <w:r w:rsidR="003E5ECE">
              <w:rPr>
                <w:rFonts w:ascii="Altivo Regular" w:eastAsia="Times New Roman" w:hAnsi="Altivo Regular"/>
                <w:b/>
                <w:color w:val="000000"/>
                <w:sz w:val="18"/>
                <w:szCs w:val="18"/>
                <w:lang w:eastAsia="es-GT"/>
              </w:rPr>
              <w:t>5</w:t>
            </w:r>
            <w:r w:rsidRPr="003F62B4">
              <w:rPr>
                <w:rFonts w:ascii="Altivo Regular" w:eastAsia="Times New Roman" w:hAnsi="Altivo Regular"/>
                <w:b/>
                <w:color w:val="000000"/>
                <w:sz w:val="18"/>
                <w:szCs w:val="18"/>
                <w:lang w:eastAsia="es-GT"/>
              </w:rPr>
              <w:t>, Otras remuneraciones de personal temporal.</w:t>
            </w:r>
          </w:p>
          <w:p w14:paraId="19E88DD0" w14:textId="4A7BE451" w:rsidR="00372DE0" w:rsidRPr="003F62B4" w:rsidRDefault="00372DE0" w:rsidP="0020638A">
            <w:pPr>
              <w:spacing w:after="0" w:line="240" w:lineRule="auto"/>
              <w:jc w:val="both"/>
              <w:rPr>
                <w:rFonts w:ascii="Altivo Regular" w:eastAsia="Times New Roman" w:hAnsi="Altivo Regular"/>
                <w:bCs/>
                <w:color w:val="000000"/>
                <w:sz w:val="18"/>
                <w:szCs w:val="18"/>
                <w:lang w:eastAsia="es-GT"/>
              </w:rPr>
            </w:pPr>
            <w:r w:rsidRPr="003F62B4">
              <w:rPr>
                <w:rFonts w:ascii="Altivo Regular" w:eastAsia="Times New Roman" w:hAnsi="Altivo Regular"/>
                <w:bCs/>
                <w:color w:val="000000"/>
                <w:sz w:val="18"/>
                <w:szCs w:val="18"/>
                <w:lang w:eastAsia="es-GT"/>
              </w:rPr>
              <w:t>Los Organismos del Estado, sus entidades Autónomas y descentralizadas, la Universidad de San Carlos de Guatemala, las empresas públicas, estatales o municipales, podrán contralar servicios técnicos y profesionales sin relación de dependencia, con cargo al renglón de gasto 029  Otras remuneraciones de personal temporal, siempre que los servicios se enmarquen en la descripción contenida en el Manual de Clasificaciones Presupuestarias para el Sector Publico de Guatemala, y bajo el procedimiento que establece el Decreto Numero 57-92 del Congreso de la Republica de Guatemala, Ley de Contrataciones del Estado y su reglamento observando además, las siguientes normas:</w:t>
            </w:r>
          </w:p>
          <w:p w14:paraId="09953257" w14:textId="77777777"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Numeral 2</w:t>
            </w:r>
          </w:p>
          <w:p w14:paraId="3BB8FBE9" w14:textId="1A76A2CA"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sz w:val="18"/>
                <w:szCs w:val="18"/>
                <w:lang w:eastAsia="es-GT"/>
              </w:rPr>
              <w:t>Las entidades en referencia, que suscriban contratos para la prestación de servicios con financiamiento interno o externo (préstamos y donaciones), con cargo al renglón de gasto 029 Otras remuneraciones de personal temporal, no podrán pagar honorarios que excedan la calidad de Treinta Mil Quetzales (30,000) en cada mes, debiendo observar las distintas entidades y las personas que prestan servicios técnicos o profesionales, que solo se pueden prestar tales servicios por los centralistas, en una sola entidad del Estado o Entidad que reciba fondos del Estado, quienes a su vez deberán registrar los mismos, a más tardar treinta días de la aprobación del contrato, en el Sistema de Nómina, Registro de Servicios Personales, Estudios y/o Servicios Individuales y Otros Relacionados con el Recurso Humano (</w:t>
            </w:r>
            <w:proofErr w:type="spellStart"/>
            <w:r w:rsidRPr="003F62B4">
              <w:rPr>
                <w:rFonts w:ascii="Altivo Regular" w:eastAsia="Times New Roman" w:hAnsi="Altivo Regular"/>
                <w:sz w:val="18"/>
                <w:szCs w:val="18"/>
                <w:lang w:eastAsia="es-GT"/>
              </w:rPr>
              <w:t>Guatenóminas</w:t>
            </w:r>
            <w:proofErr w:type="spellEnd"/>
            <w:r w:rsidRPr="003F62B4">
              <w:rPr>
                <w:rFonts w:ascii="Altivo Regular" w:eastAsia="Times New Roman" w:hAnsi="Altivo Regular"/>
                <w:sz w:val="18"/>
                <w:szCs w:val="18"/>
                <w:lang w:eastAsia="es-GT"/>
              </w:rPr>
              <w:t>). La entidad contratante tiene la potestad de dejar sin efecto dicho contra</w:t>
            </w:r>
            <w:r w:rsidR="007E2095">
              <w:rPr>
                <w:rFonts w:ascii="Altivo Regular" w:eastAsia="Times New Roman" w:hAnsi="Altivo Regular"/>
                <w:sz w:val="18"/>
                <w:szCs w:val="18"/>
                <w:lang w:eastAsia="es-GT"/>
              </w:rPr>
              <w:t>t</w:t>
            </w:r>
            <w:r w:rsidRPr="003F62B4">
              <w:rPr>
                <w:rFonts w:ascii="Altivo Regular" w:eastAsia="Times New Roman" w:hAnsi="Altivo Regular"/>
                <w:sz w:val="18"/>
                <w:szCs w:val="18"/>
                <w:lang w:eastAsia="es-GT"/>
              </w:rPr>
              <w:t>o en cualquier momento, sin que ello implique responsabilidad de su parte, no pudiendo los servicios a contralar exceder del ejercicio fiscal vigente.</w:t>
            </w:r>
          </w:p>
          <w:p w14:paraId="42A4FE59" w14:textId="6DCCDC75" w:rsidR="00372DE0" w:rsidRPr="003F62B4" w:rsidRDefault="00372DE0" w:rsidP="0020638A">
            <w:pPr>
              <w:spacing w:after="0" w:line="240" w:lineRule="auto"/>
              <w:jc w:val="both"/>
              <w:rPr>
                <w:rFonts w:ascii="Altivo Regular" w:eastAsia="Times New Roman" w:hAnsi="Altivo Regular"/>
                <w:sz w:val="18"/>
                <w:szCs w:val="18"/>
                <w:lang w:eastAsia="es-GT"/>
              </w:rPr>
            </w:pPr>
          </w:p>
        </w:tc>
        <w:tc>
          <w:tcPr>
            <w:tcW w:w="3659"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4EBE7AF7" w14:textId="51AFED58" w:rsidR="00372DE0" w:rsidRPr="003F62B4" w:rsidRDefault="00372DE0" w:rsidP="0020638A">
            <w:pPr>
              <w:spacing w:after="0" w:line="240" w:lineRule="auto"/>
              <w:jc w:val="both"/>
              <w:rPr>
                <w:rFonts w:ascii="Altivo Regular" w:eastAsia="Times New Roman" w:hAnsi="Altivo Regular"/>
                <w:color w:val="000000"/>
                <w:sz w:val="18"/>
                <w:szCs w:val="18"/>
                <w:lang w:eastAsia="es-GT"/>
              </w:rPr>
            </w:pPr>
            <w:r w:rsidRPr="003F62B4">
              <w:rPr>
                <w:rFonts w:ascii="Altivo Regular" w:eastAsia="Times New Roman" w:hAnsi="Altivo Regular"/>
                <w:color w:val="000000"/>
                <w:sz w:val="18"/>
                <w:szCs w:val="18"/>
                <w:lang w:eastAsia="es-GT"/>
              </w:rPr>
              <w:t xml:space="preserve">La Comisión Presidencial por la Paz y los Derechos Humanos, –COPADEH-, no refleja información, en virtud que no se han realizado contrataciones 029. </w:t>
            </w:r>
          </w:p>
          <w:p w14:paraId="7C803F60" w14:textId="77777777"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color w:val="000000"/>
                <w:sz w:val="18"/>
                <w:szCs w:val="18"/>
                <w:lang w:eastAsia="es-GT"/>
              </w:rPr>
              <w:t>Por lo tanto, No hay información que presentar.</w:t>
            </w:r>
          </w:p>
        </w:tc>
      </w:tr>
    </w:tbl>
    <w:p w14:paraId="6A84EC2B" w14:textId="5E5FD797" w:rsidR="00CE4A9B" w:rsidRDefault="00CE4A9B" w:rsidP="003F62B4">
      <w:pPr>
        <w:spacing w:after="0" w:line="240" w:lineRule="auto"/>
        <w:jc w:val="both"/>
        <w:rPr>
          <w:rFonts w:ascii="Arial" w:hAnsi="Arial" w:cs="Arial"/>
          <w:b/>
          <w:bCs/>
          <w:noProof/>
          <w:sz w:val="20"/>
          <w:szCs w:val="20"/>
          <w:lang w:eastAsia="es-GT"/>
        </w:rPr>
      </w:pPr>
    </w:p>
    <w:p w14:paraId="75B7C13C" w14:textId="77777777" w:rsidR="00E72A2C" w:rsidRDefault="00E72A2C" w:rsidP="003F62B4">
      <w:pPr>
        <w:spacing w:after="0" w:line="240" w:lineRule="auto"/>
        <w:jc w:val="both"/>
        <w:rPr>
          <w:rFonts w:ascii="Arial" w:hAnsi="Arial" w:cs="Arial"/>
          <w:b/>
          <w:bCs/>
          <w:noProof/>
          <w:sz w:val="20"/>
          <w:szCs w:val="20"/>
          <w:lang w:eastAsia="es-GT"/>
        </w:rPr>
      </w:pPr>
    </w:p>
    <w:p w14:paraId="4A67ED6C" w14:textId="5366146E" w:rsidR="00E72A2C" w:rsidRDefault="000D7AB7" w:rsidP="003F62B4">
      <w:pPr>
        <w:spacing w:after="0" w:line="240" w:lineRule="auto"/>
        <w:jc w:val="both"/>
        <w:rPr>
          <w:rFonts w:ascii="Arial" w:hAnsi="Arial" w:cs="Arial"/>
          <w:b/>
          <w:bCs/>
          <w:noProof/>
          <w:sz w:val="20"/>
          <w:szCs w:val="20"/>
          <w:lang w:eastAsia="es-GT"/>
        </w:rPr>
      </w:pPr>
      <w:r>
        <w:rPr>
          <w:rFonts w:ascii="Arial" w:hAnsi="Arial" w:cs="Arial"/>
          <w:b/>
          <w:bCs/>
          <w:noProof/>
          <w:sz w:val="20"/>
          <w:szCs w:val="20"/>
          <w:lang w:eastAsia="es-GT"/>
        </w:rPr>
        <w:br/>
      </w:r>
    </w:p>
    <w:p w14:paraId="6857DF06" w14:textId="77777777" w:rsidR="0008118A" w:rsidRPr="0008118A" w:rsidRDefault="0008118A" w:rsidP="0008118A">
      <w:pPr>
        <w:spacing w:after="0" w:line="240" w:lineRule="auto"/>
        <w:jc w:val="both"/>
        <w:rPr>
          <w:rFonts w:ascii="Arial" w:hAnsi="Arial" w:cs="Arial"/>
          <w:b/>
          <w:bCs/>
          <w:noProof/>
          <w:sz w:val="20"/>
          <w:szCs w:val="20"/>
          <w:lang w:eastAsia="es-GT"/>
        </w:rPr>
      </w:pPr>
    </w:p>
    <w:p w14:paraId="0E13D933" w14:textId="1891760F" w:rsidR="0008118A" w:rsidRPr="0008118A" w:rsidRDefault="0008118A" w:rsidP="0008118A">
      <w:pPr>
        <w:spacing w:after="0" w:line="240" w:lineRule="auto"/>
        <w:jc w:val="both"/>
        <w:rPr>
          <w:rFonts w:ascii="Arial" w:hAnsi="Arial" w:cs="Arial"/>
          <w:b/>
          <w:bCs/>
          <w:noProof/>
          <w:sz w:val="20"/>
          <w:szCs w:val="20"/>
          <w:lang w:eastAsia="es-GT"/>
        </w:rPr>
      </w:pPr>
      <w:bookmarkStart w:id="0" w:name="_Hlk189725724"/>
      <w:r w:rsidRPr="0008118A">
        <w:rPr>
          <w:rFonts w:ascii="Arial" w:hAnsi="Arial" w:cs="Arial"/>
          <w:b/>
          <w:bCs/>
          <w:noProof/>
          <w:sz w:val="20"/>
          <w:szCs w:val="20"/>
          <w:lang w:eastAsia="es-GT"/>
        </w:rPr>
        <w:t>Elaboró:</w:t>
      </w:r>
      <w:r w:rsidRPr="0008118A">
        <w:rPr>
          <w:rFonts w:ascii="Arial" w:hAnsi="Arial" w:cs="Arial"/>
          <w:b/>
          <w:bCs/>
          <w:noProof/>
          <w:sz w:val="20"/>
          <w:szCs w:val="20"/>
          <w:lang w:eastAsia="es-GT"/>
        </w:rPr>
        <w:tab/>
        <w:t xml:space="preserve"> </w:t>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t xml:space="preserve">       </w:t>
      </w:r>
      <w:r>
        <w:rPr>
          <w:rFonts w:ascii="Arial" w:hAnsi="Arial" w:cs="Arial"/>
          <w:b/>
          <w:bCs/>
          <w:noProof/>
          <w:sz w:val="20"/>
          <w:szCs w:val="20"/>
          <w:lang w:eastAsia="es-GT"/>
        </w:rPr>
        <w:t xml:space="preserve">     </w:t>
      </w:r>
      <w:r w:rsidRPr="0008118A">
        <w:rPr>
          <w:rFonts w:ascii="Arial" w:hAnsi="Arial" w:cs="Arial"/>
          <w:b/>
          <w:bCs/>
          <w:noProof/>
          <w:sz w:val="20"/>
          <w:szCs w:val="20"/>
          <w:lang w:eastAsia="es-GT"/>
        </w:rPr>
        <w:t xml:space="preserve">Revisó: </w:t>
      </w:r>
    </w:p>
    <w:p w14:paraId="345DA921" w14:textId="718753CF" w:rsidR="0008118A" w:rsidRDefault="0008118A" w:rsidP="00D21489">
      <w:pPr>
        <w:spacing w:after="0" w:line="240" w:lineRule="auto"/>
        <w:jc w:val="both"/>
        <w:rPr>
          <w:rFonts w:ascii="Arial" w:hAnsi="Arial" w:cs="Arial"/>
          <w:b/>
          <w:bCs/>
          <w:noProof/>
          <w:sz w:val="20"/>
          <w:szCs w:val="20"/>
          <w:lang w:eastAsia="es-GT"/>
        </w:rPr>
      </w:pP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p>
    <w:p w14:paraId="798212A1" w14:textId="77777777" w:rsidR="00D21489" w:rsidRPr="0008118A" w:rsidRDefault="00D21489" w:rsidP="00D21489">
      <w:pPr>
        <w:spacing w:after="0" w:line="240" w:lineRule="auto"/>
        <w:jc w:val="both"/>
        <w:rPr>
          <w:rFonts w:ascii="Arial" w:hAnsi="Arial" w:cs="Arial"/>
          <w:b/>
          <w:bCs/>
          <w:noProof/>
          <w:sz w:val="16"/>
          <w:szCs w:val="16"/>
          <w:lang w:eastAsia="es-GT"/>
        </w:rPr>
      </w:pPr>
    </w:p>
    <w:p w14:paraId="082E369A" w14:textId="77777777" w:rsidR="0008118A" w:rsidRPr="0008118A" w:rsidRDefault="0008118A" w:rsidP="0008118A">
      <w:pPr>
        <w:spacing w:after="0" w:line="240" w:lineRule="auto"/>
        <w:jc w:val="both"/>
        <w:rPr>
          <w:rFonts w:ascii="Arial" w:hAnsi="Arial" w:cs="Arial"/>
          <w:b/>
          <w:bCs/>
          <w:noProof/>
          <w:sz w:val="20"/>
          <w:szCs w:val="20"/>
          <w:lang w:eastAsia="es-GT"/>
        </w:rPr>
      </w:pPr>
    </w:p>
    <w:p w14:paraId="6FF15CBA" w14:textId="77777777" w:rsidR="0008118A" w:rsidRPr="0008118A" w:rsidRDefault="0008118A" w:rsidP="0008118A">
      <w:pPr>
        <w:spacing w:after="0" w:line="240" w:lineRule="auto"/>
        <w:jc w:val="both"/>
        <w:rPr>
          <w:rFonts w:ascii="Arial" w:hAnsi="Arial" w:cs="Arial"/>
          <w:b/>
          <w:bCs/>
          <w:noProof/>
          <w:sz w:val="20"/>
          <w:szCs w:val="20"/>
          <w:lang w:eastAsia="es-GT"/>
        </w:rPr>
      </w:pPr>
    </w:p>
    <w:p w14:paraId="1881B515" w14:textId="77777777" w:rsidR="0008118A" w:rsidRDefault="0008118A" w:rsidP="0008118A">
      <w:pPr>
        <w:spacing w:after="0" w:line="240" w:lineRule="auto"/>
        <w:ind w:left="2124" w:firstLine="708"/>
        <w:jc w:val="both"/>
        <w:rPr>
          <w:rFonts w:ascii="Arial" w:hAnsi="Arial" w:cs="Arial"/>
          <w:b/>
          <w:bCs/>
          <w:noProof/>
          <w:sz w:val="20"/>
          <w:szCs w:val="20"/>
          <w:lang w:eastAsia="es-GT"/>
        </w:rPr>
      </w:pPr>
    </w:p>
    <w:p w14:paraId="5458BCCD" w14:textId="77777777" w:rsidR="0008118A" w:rsidRDefault="0008118A" w:rsidP="0008118A">
      <w:pPr>
        <w:spacing w:after="0" w:line="240" w:lineRule="auto"/>
        <w:ind w:left="2124" w:firstLine="708"/>
        <w:jc w:val="both"/>
        <w:rPr>
          <w:rFonts w:ascii="Arial" w:hAnsi="Arial" w:cs="Arial"/>
          <w:b/>
          <w:bCs/>
          <w:noProof/>
          <w:sz w:val="20"/>
          <w:szCs w:val="20"/>
          <w:lang w:eastAsia="es-GT"/>
        </w:rPr>
      </w:pPr>
    </w:p>
    <w:p w14:paraId="197F40E9" w14:textId="2B1B6575" w:rsidR="0008118A" w:rsidRPr="0008118A" w:rsidRDefault="0008118A" w:rsidP="0008118A">
      <w:pPr>
        <w:spacing w:after="0" w:line="240" w:lineRule="auto"/>
        <w:ind w:left="2124" w:firstLine="708"/>
        <w:jc w:val="both"/>
        <w:rPr>
          <w:rFonts w:ascii="Arial" w:hAnsi="Arial" w:cs="Arial"/>
          <w:b/>
          <w:bCs/>
          <w:noProof/>
          <w:sz w:val="20"/>
          <w:szCs w:val="20"/>
          <w:lang w:eastAsia="es-GT"/>
        </w:rPr>
      </w:pPr>
      <w:r>
        <w:rPr>
          <w:rFonts w:ascii="Arial" w:hAnsi="Arial" w:cs="Arial"/>
          <w:b/>
          <w:bCs/>
          <w:noProof/>
          <w:sz w:val="20"/>
          <w:szCs w:val="20"/>
          <w:lang w:eastAsia="es-GT"/>
        </w:rPr>
        <w:t xml:space="preserve"> </w:t>
      </w:r>
      <w:r w:rsidR="00D26CEB">
        <w:rPr>
          <w:rFonts w:ascii="Arial" w:hAnsi="Arial" w:cs="Arial"/>
          <w:b/>
          <w:bCs/>
          <w:noProof/>
          <w:sz w:val="20"/>
          <w:szCs w:val="20"/>
          <w:lang w:eastAsia="es-GT"/>
        </w:rPr>
        <w:tab/>
      </w:r>
      <w:r>
        <w:rPr>
          <w:rFonts w:ascii="Arial" w:hAnsi="Arial" w:cs="Arial"/>
          <w:b/>
          <w:bCs/>
          <w:noProof/>
          <w:sz w:val="20"/>
          <w:szCs w:val="20"/>
          <w:lang w:eastAsia="es-GT"/>
        </w:rPr>
        <w:t xml:space="preserve">  </w:t>
      </w:r>
      <w:r w:rsidRPr="0008118A">
        <w:rPr>
          <w:rFonts w:ascii="Arial" w:hAnsi="Arial" w:cs="Arial"/>
          <w:b/>
          <w:bCs/>
          <w:noProof/>
          <w:sz w:val="20"/>
          <w:szCs w:val="20"/>
          <w:lang w:eastAsia="es-GT"/>
        </w:rPr>
        <w:t>Vo.Bo.</w:t>
      </w:r>
    </w:p>
    <w:bookmarkEnd w:id="0"/>
    <w:p w14:paraId="1D0F164D" w14:textId="28EEB30E" w:rsidR="00BE2244" w:rsidRDefault="00BE2244" w:rsidP="0008118A">
      <w:pPr>
        <w:spacing w:after="0" w:line="240" w:lineRule="auto"/>
        <w:jc w:val="both"/>
        <w:rPr>
          <w:rFonts w:ascii="Tahoma" w:hAnsi="Tahoma" w:cs="Tahoma"/>
          <w:b/>
          <w:bCs/>
          <w:noProof/>
          <w:sz w:val="20"/>
          <w:szCs w:val="20"/>
          <w:lang w:eastAsia="es-GT"/>
        </w:rPr>
      </w:pPr>
    </w:p>
    <w:sectPr w:rsidR="00BE2244" w:rsidSect="005A1F28">
      <w:headerReference w:type="default" r:id="rId7"/>
      <w:footerReference w:type="default" r:id="rId8"/>
      <w:pgSz w:w="12240" w:h="15840" w:code="1"/>
      <w:pgMar w:top="1985" w:right="1701" w:bottom="993" w:left="1701" w:header="1705" w:footer="9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F2F70" w14:textId="77777777" w:rsidR="00FC0769" w:rsidRDefault="00FC0769" w:rsidP="007C2653">
      <w:pPr>
        <w:spacing w:after="0" w:line="240" w:lineRule="auto"/>
      </w:pPr>
      <w:r>
        <w:separator/>
      </w:r>
    </w:p>
  </w:endnote>
  <w:endnote w:type="continuationSeparator" w:id="0">
    <w:p w14:paraId="5630E794" w14:textId="77777777" w:rsidR="00FC0769" w:rsidRDefault="00FC0769"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48C1" w14:textId="68FF8417" w:rsidR="007C2653" w:rsidRDefault="007C2653">
    <w:pPr>
      <w:pStyle w:val="Piedepgina"/>
    </w:pPr>
    <w:r>
      <w:rPr>
        <w:noProof/>
      </w:rPr>
      <w:drawing>
        <wp:anchor distT="0" distB="0" distL="114300" distR="114300" simplePos="0" relativeHeight="251659264" behindDoc="0" locked="0" layoutInCell="1" allowOverlap="1" wp14:anchorId="2254C478" wp14:editId="2522977C">
          <wp:simplePos x="0" y="0"/>
          <wp:positionH relativeFrom="page">
            <wp:posOffset>640715</wp:posOffset>
          </wp:positionH>
          <wp:positionV relativeFrom="page">
            <wp:posOffset>9321800</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2643567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0D93E" w14:textId="77777777" w:rsidR="00FC0769" w:rsidRDefault="00FC0769" w:rsidP="007C2653">
      <w:pPr>
        <w:spacing w:after="0" w:line="240" w:lineRule="auto"/>
      </w:pPr>
      <w:r>
        <w:separator/>
      </w:r>
    </w:p>
  </w:footnote>
  <w:footnote w:type="continuationSeparator" w:id="0">
    <w:p w14:paraId="0231137E" w14:textId="77777777" w:rsidR="00FC0769" w:rsidRDefault="00FC0769" w:rsidP="007C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CDEB" w14:textId="69239275" w:rsidR="007C2653" w:rsidRDefault="00BE2244">
    <w:pPr>
      <w:pStyle w:val="Encabezado"/>
    </w:pPr>
    <w:r>
      <w:rPr>
        <w:noProof/>
      </w:rPr>
      <w:drawing>
        <wp:anchor distT="0" distB="0" distL="114300" distR="114300" simplePos="0" relativeHeight="251661312" behindDoc="0" locked="0" layoutInCell="1" hidden="0" allowOverlap="1" wp14:anchorId="14B682D3" wp14:editId="1A08F66B">
          <wp:simplePos x="0" y="0"/>
          <wp:positionH relativeFrom="page">
            <wp:posOffset>-148590</wp:posOffset>
          </wp:positionH>
          <wp:positionV relativeFrom="paragraph">
            <wp:posOffset>-1086485</wp:posOffset>
          </wp:positionV>
          <wp:extent cx="3039745" cy="1021080"/>
          <wp:effectExtent l="0" t="0" r="0" b="7620"/>
          <wp:wrapSquare wrapText="bothSides" distT="0" distB="0" distL="114300" distR="114300"/>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E55BA"/>
    <w:multiLevelType w:val="hybridMultilevel"/>
    <w:tmpl w:val="0892161E"/>
    <w:lvl w:ilvl="0" w:tplc="C5FCE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CC20CEE"/>
    <w:multiLevelType w:val="hybridMultilevel"/>
    <w:tmpl w:val="7196005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107970551">
    <w:abstractNumId w:val="1"/>
  </w:num>
  <w:num w:numId="2" w16cid:durableId="97795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4D74"/>
    <w:rsid w:val="00072B2A"/>
    <w:rsid w:val="00077645"/>
    <w:rsid w:val="0008118A"/>
    <w:rsid w:val="000907F5"/>
    <w:rsid w:val="000C4281"/>
    <w:rsid w:val="000D7AB7"/>
    <w:rsid w:val="001546D5"/>
    <w:rsid w:val="00182691"/>
    <w:rsid w:val="001A6729"/>
    <w:rsid w:val="001C556E"/>
    <w:rsid w:val="001F7355"/>
    <w:rsid w:val="00271426"/>
    <w:rsid w:val="002B72C4"/>
    <w:rsid w:val="002D59B7"/>
    <w:rsid w:val="002E26C1"/>
    <w:rsid w:val="0031744B"/>
    <w:rsid w:val="003313FB"/>
    <w:rsid w:val="003569FF"/>
    <w:rsid w:val="00372DE0"/>
    <w:rsid w:val="003B5DF4"/>
    <w:rsid w:val="003B5F00"/>
    <w:rsid w:val="003C6C96"/>
    <w:rsid w:val="003E5ECE"/>
    <w:rsid w:val="003F62B4"/>
    <w:rsid w:val="00444C44"/>
    <w:rsid w:val="004975F6"/>
    <w:rsid w:val="00514049"/>
    <w:rsid w:val="00514E2C"/>
    <w:rsid w:val="00522104"/>
    <w:rsid w:val="005A1F28"/>
    <w:rsid w:val="005A1FA1"/>
    <w:rsid w:val="005A3E2E"/>
    <w:rsid w:val="005F12F1"/>
    <w:rsid w:val="006810FC"/>
    <w:rsid w:val="00737119"/>
    <w:rsid w:val="00792D99"/>
    <w:rsid w:val="007C2653"/>
    <w:rsid w:val="007E2095"/>
    <w:rsid w:val="00820148"/>
    <w:rsid w:val="00885D15"/>
    <w:rsid w:val="008D42B3"/>
    <w:rsid w:val="008E1D40"/>
    <w:rsid w:val="00977133"/>
    <w:rsid w:val="009A0025"/>
    <w:rsid w:val="009C0296"/>
    <w:rsid w:val="009C3FA0"/>
    <w:rsid w:val="00A85AFD"/>
    <w:rsid w:val="00AB1D4F"/>
    <w:rsid w:val="00AC3DDD"/>
    <w:rsid w:val="00AD2C65"/>
    <w:rsid w:val="00B0614F"/>
    <w:rsid w:val="00B32C27"/>
    <w:rsid w:val="00B35241"/>
    <w:rsid w:val="00B641B2"/>
    <w:rsid w:val="00B811BA"/>
    <w:rsid w:val="00BC2105"/>
    <w:rsid w:val="00BE1B74"/>
    <w:rsid w:val="00BE2244"/>
    <w:rsid w:val="00C1520B"/>
    <w:rsid w:val="00C4359D"/>
    <w:rsid w:val="00CE4A9B"/>
    <w:rsid w:val="00D21489"/>
    <w:rsid w:val="00D26CEB"/>
    <w:rsid w:val="00DA7EBD"/>
    <w:rsid w:val="00DE2D6D"/>
    <w:rsid w:val="00E07730"/>
    <w:rsid w:val="00E51E02"/>
    <w:rsid w:val="00E559A1"/>
    <w:rsid w:val="00E67E7A"/>
    <w:rsid w:val="00E72A2C"/>
    <w:rsid w:val="00E878E4"/>
    <w:rsid w:val="00E96E79"/>
    <w:rsid w:val="00ED2CC5"/>
    <w:rsid w:val="00EF7F25"/>
    <w:rsid w:val="00F7355B"/>
    <w:rsid w:val="00F773E8"/>
    <w:rsid w:val="00FB3881"/>
    <w:rsid w:val="00FC0769"/>
    <w:rsid w:val="00FC1A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chartTrackingRefBased/>
  <w15:docId w15:val="{84D224BF-796B-4DA0-A9B1-A3641AA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C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2E26C1"/>
    <w:pPr>
      <w:spacing w:after="0" w:line="240" w:lineRule="auto"/>
      <w:ind w:left="720"/>
      <w:contextualSpacing/>
    </w:pPr>
    <w:rPr>
      <w:rFonts w:eastAsiaTheme="minorEastAsia"/>
      <w:sz w:val="24"/>
      <w:szCs w:val="24"/>
      <w:lang w:val="es-ES_tradnl" w:eastAsia="es-ES"/>
    </w:rPr>
  </w:style>
  <w:style w:type="paragraph" w:styleId="Sinespaciado">
    <w:name w:val="No Spacing"/>
    <w:uiPriority w:val="1"/>
    <w:qFormat/>
    <w:rsid w:val="002E26C1"/>
    <w:pPr>
      <w:spacing w:after="0" w:line="240" w:lineRule="auto"/>
    </w:pPr>
    <w:rPr>
      <w:kern w:val="0"/>
      <w14:ligatures w14:val="none"/>
    </w:rPr>
  </w:style>
  <w:style w:type="character" w:styleId="Hipervnculo">
    <w:name w:val="Hyperlink"/>
    <w:basedOn w:val="Fuentedeprrafopredeter"/>
    <w:uiPriority w:val="99"/>
    <w:unhideWhenUsed/>
    <w:rsid w:val="005A3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338</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Ilce Nineth Quezada Arellano</cp:lastModifiedBy>
  <cp:revision>13</cp:revision>
  <cp:lastPrinted>2025-04-04T21:02:00Z</cp:lastPrinted>
  <dcterms:created xsi:type="dcterms:W3CDTF">2024-06-07T14:11:00Z</dcterms:created>
  <dcterms:modified xsi:type="dcterms:W3CDTF">2025-04-04T21:09:00Z</dcterms:modified>
</cp:coreProperties>
</file>